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Look w:val="0000" w:firstRow="0" w:lastRow="0" w:firstColumn="0" w:lastColumn="0" w:noHBand="0" w:noVBand="0"/>
      </w:tblPr>
      <w:tblGrid>
        <w:gridCol w:w="720"/>
        <w:gridCol w:w="8208"/>
      </w:tblGrid>
      <w:tr w:rsidR="004633FB">
        <w:tblPrEx>
          <w:tblCellMar>
            <w:top w:w="0" w:type="dxa"/>
            <w:bottom w:w="0" w:type="dxa"/>
          </w:tblCellMar>
        </w:tblPrEx>
        <w:trPr>
          <w:cantSplit/>
        </w:trPr>
        <w:tc>
          <w:tcPr>
            <w:tcW w:w="8928" w:type="dxa"/>
            <w:gridSpan w:val="2"/>
          </w:tcPr>
          <w:p w:rsidR="004633FB" w:rsidRDefault="004633FB">
            <w:pPr>
              <w:pStyle w:val="Heading5"/>
              <w:rPr>
                <w:rFonts w:ascii="Arial" w:hAnsi="Arial" w:cs="Arial"/>
                <w:b/>
                <w:bCs/>
                <w:color w:val="auto"/>
                <w:sz w:val="28"/>
              </w:rPr>
            </w:pPr>
            <w:r>
              <w:rPr>
                <w:rFonts w:ascii="Arial" w:eastAsia="MS Mincho" w:hAnsi="Arial" w:cs="Arial"/>
                <w:sz w:val="22"/>
              </w:rPr>
              <w:br w:type="page"/>
            </w:r>
            <w:r>
              <w:rPr>
                <w:rFonts w:ascii="Arial" w:hAnsi="Arial" w:cs="Arial"/>
                <w:b/>
                <w:bCs/>
                <w:color w:val="auto"/>
                <w:sz w:val="28"/>
              </w:rPr>
              <w:t xml:space="preserve">Why </w:t>
            </w:r>
            <w:proofErr w:type="gramStart"/>
            <w:r w:rsidR="005F5F65">
              <w:rPr>
                <w:rFonts w:ascii="Arial" w:hAnsi="Arial" w:cs="Arial"/>
                <w:b/>
                <w:bCs/>
                <w:color w:val="auto"/>
                <w:sz w:val="28"/>
              </w:rPr>
              <w:t>It’s</w:t>
            </w:r>
            <w:proofErr w:type="gramEnd"/>
            <w:r w:rsidR="005F5F65">
              <w:rPr>
                <w:rFonts w:ascii="Arial" w:hAnsi="Arial" w:cs="Arial"/>
                <w:b/>
                <w:bCs/>
                <w:color w:val="auto"/>
                <w:sz w:val="28"/>
              </w:rPr>
              <w:t xml:space="preserve"> So Critical</w:t>
            </w:r>
            <w:r>
              <w:rPr>
                <w:rFonts w:ascii="Arial" w:hAnsi="Arial" w:cs="Arial"/>
                <w:b/>
                <w:bCs/>
                <w:color w:val="auto"/>
                <w:sz w:val="28"/>
              </w:rPr>
              <w:t xml:space="preserve"> to Stage A Vacant Home</w:t>
            </w:r>
          </w:p>
          <w:p w:rsidR="004633FB" w:rsidRDefault="004633FB">
            <w:pPr>
              <w:rPr>
                <w:rFonts w:ascii="Arial" w:hAnsi="Arial" w:cs="Arial"/>
                <w:sz w:val="20"/>
              </w:rPr>
            </w:pPr>
            <w:r>
              <w:rPr>
                <w:rFonts w:ascii="Arial" w:hAnsi="Arial" w:cs="Arial"/>
                <w:sz w:val="20"/>
              </w:rPr>
              <w:t xml:space="preserve"> </w:t>
            </w:r>
          </w:p>
        </w:tc>
      </w:tr>
      <w:tr w:rsidR="004633FB">
        <w:tblPrEx>
          <w:tblCellMar>
            <w:top w:w="0" w:type="dxa"/>
            <w:bottom w:w="0" w:type="dxa"/>
          </w:tblCellMar>
        </w:tblPrEx>
        <w:trPr>
          <w:cantSplit/>
        </w:trPr>
        <w:tc>
          <w:tcPr>
            <w:tcW w:w="8928" w:type="dxa"/>
            <w:gridSpan w:val="2"/>
          </w:tcPr>
          <w:p w:rsidR="004633FB" w:rsidRDefault="004633FB">
            <w:pPr>
              <w:pStyle w:val="Heading2"/>
              <w:rPr>
                <w:rFonts w:ascii="Arial" w:hAnsi="Arial" w:cs="Arial"/>
                <w:b/>
                <w:bCs/>
                <w:color w:val="auto"/>
                <w:sz w:val="24"/>
              </w:rPr>
            </w:pPr>
            <w:r>
              <w:rPr>
                <w:rFonts w:ascii="Arial" w:hAnsi="Arial" w:cs="Arial"/>
                <w:b/>
                <w:bCs/>
                <w:color w:val="auto"/>
                <w:sz w:val="24"/>
              </w:rPr>
              <w:t>People Don’t Buy Houses, They Buy Homes</w:t>
            </w:r>
          </w:p>
          <w:p w:rsidR="004633FB" w:rsidRDefault="004633FB">
            <w:pPr>
              <w:rPr>
                <w:rFonts w:ascii="Arial" w:hAnsi="Arial" w:cs="Arial"/>
                <w:b/>
                <w:bCs/>
              </w:rPr>
            </w:pPr>
          </w:p>
        </w:tc>
      </w:tr>
      <w:tr w:rsidR="004633FB">
        <w:tblPrEx>
          <w:tblCellMar>
            <w:top w:w="0" w:type="dxa"/>
            <w:bottom w:w="0" w:type="dxa"/>
          </w:tblCellMar>
        </w:tblPrEx>
        <w:tc>
          <w:tcPr>
            <w:tcW w:w="720" w:type="dxa"/>
          </w:tcPr>
          <w:p w:rsidR="004633FB" w:rsidRDefault="004633FB">
            <w:pPr>
              <w:rPr>
                <w:rFonts w:ascii="Arial" w:hAnsi="Arial" w:cs="Arial"/>
              </w:rPr>
            </w:pPr>
            <w:r>
              <w:rPr>
                <w:rFonts w:ascii="Arial" w:hAnsi="Arial" w:cs="Arial"/>
              </w:rPr>
              <w:fldChar w:fldCharType="begin"/>
            </w:r>
            <w:r>
              <w:rPr>
                <w:rFonts w:ascii="Arial" w:hAnsi="Arial" w:cs="Arial"/>
              </w:rPr>
              <w:instrText xml:space="preserve"> INCLUDEPICTURE "http://www.elrdesigns.com/intflirdelis.jpg" \* MERGEFORMATINET </w:instrText>
            </w:r>
            <w:r>
              <w:rPr>
                <w:rFonts w:ascii="Arial" w:hAnsi="Arial" w:cs="Arial"/>
              </w:rPr>
              <w:fldChar w:fldCharType="separate"/>
            </w: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0.5pt">
                  <v:imagedata r:id="rId6" r:href="rId7"/>
                </v:shape>
              </w:pict>
            </w:r>
            <w:r>
              <w:rPr>
                <w:rFonts w:ascii="Arial" w:hAnsi="Arial" w:cs="Arial"/>
              </w:rPr>
              <w:fldChar w:fldCharType="end"/>
            </w:r>
          </w:p>
        </w:tc>
        <w:tc>
          <w:tcPr>
            <w:tcW w:w="8208" w:type="dxa"/>
          </w:tcPr>
          <w:p w:rsidR="004633FB" w:rsidRDefault="004633FB">
            <w:pPr>
              <w:rPr>
                <w:rFonts w:ascii="Arial" w:hAnsi="Arial" w:cs="Arial"/>
              </w:rPr>
            </w:pPr>
            <w:r>
              <w:rPr>
                <w:rFonts w:ascii="Arial" w:hAnsi="Arial" w:cs="Arial"/>
                <w:szCs w:val="27"/>
              </w:rPr>
              <w:t>The number one reason a buyer purchases a home is because it “felt home.”  It was warm, inviting and the buyer made an emotional connection with the home.  When have you ever heard of an empty room described as warm and inviting?  Sterile, cold and uninviting are the three most popular words to describe an empty room.</w:t>
            </w:r>
          </w:p>
        </w:tc>
      </w:tr>
      <w:tr w:rsidR="004633FB">
        <w:tblPrEx>
          <w:tblCellMar>
            <w:top w:w="0" w:type="dxa"/>
            <w:bottom w:w="0" w:type="dxa"/>
          </w:tblCellMar>
        </w:tblPrEx>
        <w:trPr>
          <w:cantSplit/>
        </w:trPr>
        <w:tc>
          <w:tcPr>
            <w:tcW w:w="8928" w:type="dxa"/>
            <w:gridSpan w:val="2"/>
          </w:tcPr>
          <w:p w:rsidR="004633FB" w:rsidRDefault="004633FB">
            <w:pPr>
              <w:pStyle w:val="Heading2"/>
              <w:rPr>
                <w:rFonts w:ascii="Arial" w:hAnsi="Arial" w:cs="Arial"/>
                <w:b/>
                <w:bCs/>
                <w:color w:val="auto"/>
                <w:sz w:val="24"/>
              </w:rPr>
            </w:pPr>
          </w:p>
          <w:p w:rsidR="004633FB" w:rsidRDefault="004633FB">
            <w:pPr>
              <w:pStyle w:val="Heading2"/>
              <w:rPr>
                <w:rFonts w:ascii="Arial" w:hAnsi="Arial" w:cs="Arial"/>
                <w:b/>
                <w:bCs/>
                <w:color w:val="auto"/>
                <w:sz w:val="24"/>
              </w:rPr>
            </w:pPr>
            <w:r>
              <w:rPr>
                <w:rFonts w:ascii="Arial" w:hAnsi="Arial" w:cs="Arial"/>
                <w:b/>
                <w:bCs/>
                <w:color w:val="auto"/>
                <w:sz w:val="24"/>
              </w:rPr>
              <w:t>Without Furniture, There Is No Frame Of Reference</w:t>
            </w:r>
          </w:p>
          <w:p w:rsidR="004633FB" w:rsidRDefault="004633FB">
            <w:pPr>
              <w:rPr>
                <w:rFonts w:ascii="Arial" w:hAnsi="Arial" w:cs="Arial"/>
                <w:b/>
                <w:bCs/>
              </w:rPr>
            </w:pPr>
          </w:p>
        </w:tc>
      </w:tr>
      <w:tr w:rsidR="004633FB">
        <w:tblPrEx>
          <w:tblCellMar>
            <w:top w:w="0" w:type="dxa"/>
            <w:bottom w:w="0" w:type="dxa"/>
          </w:tblCellMar>
        </w:tblPrEx>
        <w:tc>
          <w:tcPr>
            <w:tcW w:w="720" w:type="dxa"/>
          </w:tcPr>
          <w:p w:rsidR="004633FB" w:rsidRDefault="004633FB">
            <w:pPr>
              <w:rPr>
                <w:rFonts w:ascii="Arial" w:hAnsi="Arial" w:cs="Arial"/>
              </w:rPr>
            </w:pPr>
            <w:r>
              <w:rPr>
                <w:rFonts w:ascii="Arial" w:hAnsi="Arial" w:cs="Arial"/>
              </w:rPr>
              <w:fldChar w:fldCharType="begin"/>
            </w:r>
            <w:r>
              <w:rPr>
                <w:rFonts w:ascii="Arial" w:hAnsi="Arial" w:cs="Arial"/>
              </w:rPr>
              <w:instrText xml:space="preserve"> INCLUDEPICTURE "http://www.elrdesigns.com/intflirdelis.jpg" \* MERGEFORMATINET </w:instrText>
            </w:r>
            <w:r>
              <w:rPr>
                <w:rFonts w:ascii="Arial" w:hAnsi="Arial" w:cs="Arial"/>
              </w:rPr>
              <w:fldChar w:fldCharType="separate"/>
            </w:r>
            <w:r>
              <w:rPr>
                <w:rFonts w:ascii="Arial" w:hAnsi="Arial" w:cs="Arial"/>
              </w:rPr>
              <w:pict>
                <v:shape id="_x0000_i1026" type="#_x0000_t75" style="width:18.75pt;height:10.5pt">
                  <v:imagedata r:id="rId6" r:href="rId8"/>
                </v:shape>
              </w:pict>
            </w:r>
            <w:r>
              <w:rPr>
                <w:rFonts w:ascii="Arial" w:hAnsi="Arial" w:cs="Arial"/>
              </w:rPr>
              <w:fldChar w:fldCharType="end"/>
            </w:r>
          </w:p>
        </w:tc>
        <w:tc>
          <w:tcPr>
            <w:tcW w:w="8208" w:type="dxa"/>
          </w:tcPr>
          <w:p w:rsidR="004633FB" w:rsidRDefault="004633FB">
            <w:pPr>
              <w:rPr>
                <w:rFonts w:ascii="Arial" w:hAnsi="Arial" w:cs="Arial"/>
              </w:rPr>
            </w:pPr>
            <w:r>
              <w:rPr>
                <w:rFonts w:ascii="Arial" w:hAnsi="Arial" w:cs="Arial"/>
              </w:rPr>
              <w:t>How big is the room?  Without furn</w:t>
            </w:r>
            <w:bookmarkStart w:id="0" w:name="_GoBack"/>
            <w:bookmarkEnd w:id="0"/>
            <w:r>
              <w:rPr>
                <w:rFonts w:ascii="Arial" w:hAnsi="Arial" w:cs="Arial"/>
              </w:rPr>
              <w:t xml:space="preserve">iture it’s incredibly difficult to tell the scale and size of a room.  When the buyer does not have answers to their questions-they walk away.  </w:t>
            </w:r>
          </w:p>
          <w:p w:rsidR="004633FB" w:rsidRDefault="004633FB">
            <w:pPr>
              <w:rPr>
                <w:rFonts w:ascii="Arial" w:hAnsi="Arial" w:cs="Arial"/>
              </w:rPr>
            </w:pPr>
            <w:r>
              <w:rPr>
                <w:rFonts w:ascii="Arial" w:hAnsi="Arial" w:cs="Arial"/>
              </w:rPr>
              <w:t>What is this room for?  Many times a buyer can’t even tell if it’s the living room or dining room in an unfurnished home.  Don’t keep them guessing, because it only distracts them from considering the home as a purchase.</w:t>
            </w:r>
          </w:p>
        </w:tc>
      </w:tr>
      <w:tr w:rsidR="004633FB">
        <w:tblPrEx>
          <w:tblCellMar>
            <w:top w:w="0" w:type="dxa"/>
            <w:bottom w:w="0" w:type="dxa"/>
          </w:tblCellMar>
        </w:tblPrEx>
        <w:trPr>
          <w:cantSplit/>
        </w:trPr>
        <w:tc>
          <w:tcPr>
            <w:tcW w:w="8928" w:type="dxa"/>
            <w:gridSpan w:val="2"/>
          </w:tcPr>
          <w:p w:rsidR="004633FB" w:rsidRDefault="004633FB">
            <w:pPr>
              <w:rPr>
                <w:rFonts w:ascii="Arial" w:hAnsi="Arial" w:cs="Arial"/>
                <w:b/>
                <w:bCs/>
              </w:rPr>
            </w:pPr>
          </w:p>
          <w:p w:rsidR="004633FB" w:rsidRDefault="004633FB">
            <w:pPr>
              <w:pStyle w:val="Heading2"/>
              <w:rPr>
                <w:rFonts w:ascii="Arial" w:hAnsi="Arial" w:cs="Arial"/>
                <w:b/>
                <w:bCs/>
                <w:color w:val="auto"/>
                <w:sz w:val="24"/>
              </w:rPr>
            </w:pPr>
            <w:r>
              <w:rPr>
                <w:rFonts w:ascii="Arial" w:hAnsi="Arial" w:cs="Arial"/>
                <w:b/>
                <w:bCs/>
                <w:color w:val="auto"/>
                <w:sz w:val="24"/>
              </w:rPr>
              <w:t>When A Room Is Kept Empty, Buyers Focus On Negative Details</w:t>
            </w:r>
          </w:p>
          <w:p w:rsidR="004633FB" w:rsidRDefault="004633FB">
            <w:pPr>
              <w:rPr>
                <w:rFonts w:ascii="Arial" w:hAnsi="Arial" w:cs="Arial"/>
                <w:b/>
                <w:bCs/>
              </w:rPr>
            </w:pPr>
          </w:p>
        </w:tc>
      </w:tr>
      <w:tr w:rsidR="004633FB">
        <w:tblPrEx>
          <w:tblCellMar>
            <w:top w:w="0" w:type="dxa"/>
            <w:bottom w:w="0" w:type="dxa"/>
          </w:tblCellMar>
        </w:tblPrEx>
        <w:tc>
          <w:tcPr>
            <w:tcW w:w="720" w:type="dxa"/>
          </w:tcPr>
          <w:p w:rsidR="004633FB" w:rsidRDefault="004633FB">
            <w:pPr>
              <w:rPr>
                <w:rFonts w:ascii="Arial" w:hAnsi="Arial" w:cs="Arial"/>
              </w:rPr>
            </w:pPr>
            <w:r>
              <w:rPr>
                <w:rFonts w:ascii="Arial" w:hAnsi="Arial" w:cs="Arial"/>
              </w:rPr>
              <w:fldChar w:fldCharType="begin"/>
            </w:r>
            <w:r>
              <w:rPr>
                <w:rFonts w:ascii="Arial" w:hAnsi="Arial" w:cs="Arial"/>
              </w:rPr>
              <w:instrText xml:space="preserve"> INCLUDEPICTURE "http://www.elrdesigns.com/intflirdelis.jpg" \* MERGEFORMATINET </w:instrText>
            </w:r>
            <w:r>
              <w:rPr>
                <w:rFonts w:ascii="Arial" w:hAnsi="Arial" w:cs="Arial"/>
              </w:rPr>
              <w:fldChar w:fldCharType="separate"/>
            </w:r>
            <w:r>
              <w:rPr>
                <w:rFonts w:ascii="Arial" w:hAnsi="Arial" w:cs="Arial"/>
              </w:rPr>
              <w:pict>
                <v:shape id="_x0000_i1027" type="#_x0000_t75" style="width:18.75pt;height:10.5pt">
                  <v:imagedata r:id="rId6" r:href="rId9"/>
                </v:shape>
              </w:pict>
            </w:r>
            <w:r>
              <w:rPr>
                <w:rFonts w:ascii="Arial" w:hAnsi="Arial" w:cs="Arial"/>
              </w:rPr>
              <w:fldChar w:fldCharType="end"/>
            </w:r>
          </w:p>
        </w:tc>
        <w:tc>
          <w:tcPr>
            <w:tcW w:w="8208" w:type="dxa"/>
          </w:tcPr>
          <w:p w:rsidR="004633FB" w:rsidRDefault="004633FB">
            <w:pPr>
              <w:rPr>
                <w:rFonts w:ascii="Arial" w:hAnsi="Arial" w:cs="Arial"/>
              </w:rPr>
            </w:pPr>
            <w:r>
              <w:rPr>
                <w:rFonts w:ascii="Arial" w:hAnsi="Arial" w:cs="Arial"/>
              </w:rPr>
              <w:t>Can you imagine a brand new Mercedes without a paint job?  Do you think people would notice the beautiful car or the missing paint?</w:t>
            </w:r>
          </w:p>
          <w:p w:rsidR="004633FB" w:rsidRDefault="004633FB">
            <w:pPr>
              <w:rPr>
                <w:rFonts w:ascii="Arial" w:hAnsi="Arial" w:cs="Arial"/>
                <w:b/>
                <w:bCs/>
              </w:rPr>
            </w:pPr>
            <w:r>
              <w:rPr>
                <w:rFonts w:ascii="Arial" w:hAnsi="Arial" w:cs="Arial"/>
              </w:rPr>
              <w:t xml:space="preserve">It’s so much easier to notice that crack in the wall, or the chip in the tile when there is nothing else to look at.  Home Staging capitalizes on the positive aspects of a home, while de-emphasizing negative aspects in order to position a home that will make an emotional connection with buyers.  </w:t>
            </w:r>
          </w:p>
        </w:tc>
      </w:tr>
      <w:tr w:rsidR="004633FB">
        <w:tblPrEx>
          <w:tblCellMar>
            <w:top w:w="0" w:type="dxa"/>
            <w:bottom w:w="0" w:type="dxa"/>
          </w:tblCellMar>
        </w:tblPrEx>
        <w:trPr>
          <w:cantSplit/>
        </w:trPr>
        <w:tc>
          <w:tcPr>
            <w:tcW w:w="8928" w:type="dxa"/>
            <w:gridSpan w:val="2"/>
          </w:tcPr>
          <w:p w:rsidR="004633FB" w:rsidRDefault="004633FB">
            <w:pPr>
              <w:rPr>
                <w:rFonts w:ascii="Arial" w:hAnsi="Arial" w:cs="Arial"/>
                <w:b/>
                <w:bCs/>
              </w:rPr>
            </w:pPr>
          </w:p>
          <w:p w:rsidR="004633FB" w:rsidRDefault="004633FB">
            <w:pPr>
              <w:pStyle w:val="Heading2"/>
              <w:rPr>
                <w:rFonts w:ascii="Arial" w:hAnsi="Arial" w:cs="Arial"/>
                <w:b/>
                <w:bCs/>
                <w:color w:val="auto"/>
                <w:sz w:val="24"/>
              </w:rPr>
            </w:pPr>
            <w:r>
              <w:rPr>
                <w:rFonts w:ascii="Arial" w:hAnsi="Arial" w:cs="Arial"/>
                <w:b/>
                <w:bCs/>
                <w:color w:val="auto"/>
                <w:sz w:val="24"/>
              </w:rPr>
              <w:t xml:space="preserve">Only 10% of Home Buyers Can Actually Visualize the </w:t>
            </w:r>
            <w:r w:rsidR="009B47A6">
              <w:rPr>
                <w:rFonts w:ascii="Arial" w:hAnsi="Arial" w:cs="Arial"/>
                <w:b/>
                <w:bCs/>
                <w:color w:val="auto"/>
                <w:sz w:val="24"/>
              </w:rPr>
              <w:t>“</w:t>
            </w:r>
            <w:r>
              <w:rPr>
                <w:rFonts w:ascii="Arial" w:hAnsi="Arial" w:cs="Arial"/>
                <w:b/>
                <w:bCs/>
                <w:color w:val="auto"/>
                <w:sz w:val="24"/>
              </w:rPr>
              <w:t>Potential</w:t>
            </w:r>
            <w:r w:rsidR="009B47A6">
              <w:rPr>
                <w:rFonts w:ascii="Arial" w:hAnsi="Arial" w:cs="Arial"/>
                <w:b/>
                <w:bCs/>
                <w:color w:val="auto"/>
                <w:sz w:val="24"/>
              </w:rPr>
              <w:t>”</w:t>
            </w:r>
            <w:r>
              <w:rPr>
                <w:rFonts w:ascii="Arial" w:hAnsi="Arial" w:cs="Arial"/>
                <w:b/>
                <w:bCs/>
                <w:color w:val="auto"/>
                <w:sz w:val="24"/>
              </w:rPr>
              <w:t xml:space="preserve"> of Home</w:t>
            </w:r>
          </w:p>
          <w:p w:rsidR="004633FB" w:rsidRDefault="004633FB">
            <w:pPr>
              <w:rPr>
                <w:rFonts w:ascii="Arial" w:hAnsi="Arial" w:cs="Arial"/>
                <w:b/>
                <w:bCs/>
              </w:rPr>
            </w:pPr>
          </w:p>
        </w:tc>
      </w:tr>
      <w:tr w:rsidR="004633FB">
        <w:tblPrEx>
          <w:tblCellMar>
            <w:top w:w="0" w:type="dxa"/>
            <w:bottom w:w="0" w:type="dxa"/>
          </w:tblCellMar>
        </w:tblPrEx>
        <w:tc>
          <w:tcPr>
            <w:tcW w:w="720" w:type="dxa"/>
          </w:tcPr>
          <w:p w:rsidR="004633FB" w:rsidRDefault="004633FB">
            <w:pPr>
              <w:rPr>
                <w:rFonts w:ascii="Arial" w:hAnsi="Arial" w:cs="Arial"/>
              </w:rPr>
            </w:pPr>
            <w:r>
              <w:rPr>
                <w:rFonts w:ascii="Arial" w:hAnsi="Arial" w:cs="Arial"/>
              </w:rPr>
              <w:fldChar w:fldCharType="begin"/>
            </w:r>
            <w:r>
              <w:rPr>
                <w:rFonts w:ascii="Arial" w:hAnsi="Arial" w:cs="Arial"/>
              </w:rPr>
              <w:instrText xml:space="preserve"> INCLUDEPICTURE "http://www.elrdesigns.com/intflirdelis.jpg" \* MERGEFORMATINET </w:instrText>
            </w:r>
            <w:r>
              <w:rPr>
                <w:rFonts w:ascii="Arial" w:hAnsi="Arial" w:cs="Arial"/>
              </w:rPr>
              <w:fldChar w:fldCharType="separate"/>
            </w:r>
            <w:r>
              <w:rPr>
                <w:rFonts w:ascii="Arial" w:hAnsi="Arial" w:cs="Arial"/>
              </w:rPr>
              <w:pict>
                <v:shape id="_x0000_i1028" type="#_x0000_t75" style="width:18.75pt;height:10.5pt">
                  <v:imagedata r:id="rId6" r:href="rId10"/>
                </v:shape>
              </w:pict>
            </w:r>
            <w:r>
              <w:rPr>
                <w:rFonts w:ascii="Arial" w:hAnsi="Arial" w:cs="Arial"/>
              </w:rPr>
              <w:fldChar w:fldCharType="end"/>
            </w:r>
          </w:p>
        </w:tc>
        <w:tc>
          <w:tcPr>
            <w:tcW w:w="8208" w:type="dxa"/>
          </w:tcPr>
          <w:p w:rsidR="004633FB" w:rsidRDefault="004633FB">
            <w:pPr>
              <w:rPr>
                <w:rFonts w:ascii="Arial" w:hAnsi="Arial" w:cs="Arial"/>
                <w:b/>
                <w:bCs/>
              </w:rPr>
            </w:pPr>
            <w:r>
              <w:rPr>
                <w:rFonts w:ascii="Arial" w:hAnsi="Arial" w:cs="Arial"/>
              </w:rPr>
              <w:t>Nine out of every ten people walking in your home have no imagination of the wonderful possibilities your home has to offer them.  They just can’t picture it.  Don’t let a simple thing like no furniture or limited furniture ruin your sale.  Don’t take those odds; they will hurt you in the price significantly!</w:t>
            </w:r>
          </w:p>
        </w:tc>
      </w:tr>
      <w:tr w:rsidR="004633FB">
        <w:tblPrEx>
          <w:tblCellMar>
            <w:top w:w="0" w:type="dxa"/>
            <w:bottom w:w="0" w:type="dxa"/>
          </w:tblCellMar>
        </w:tblPrEx>
        <w:trPr>
          <w:cantSplit/>
        </w:trPr>
        <w:tc>
          <w:tcPr>
            <w:tcW w:w="8928" w:type="dxa"/>
            <w:gridSpan w:val="2"/>
          </w:tcPr>
          <w:p w:rsidR="004633FB" w:rsidRDefault="004633FB">
            <w:pPr>
              <w:rPr>
                <w:rFonts w:ascii="Arial" w:hAnsi="Arial" w:cs="Arial"/>
                <w:b/>
                <w:bCs/>
              </w:rPr>
            </w:pPr>
          </w:p>
          <w:p w:rsidR="004633FB" w:rsidRDefault="009B47A6">
            <w:pPr>
              <w:pStyle w:val="Heading2"/>
              <w:rPr>
                <w:rFonts w:ascii="Arial" w:hAnsi="Arial" w:cs="Arial"/>
                <w:b/>
                <w:bCs/>
                <w:color w:val="auto"/>
                <w:sz w:val="24"/>
              </w:rPr>
            </w:pPr>
            <w:r>
              <w:rPr>
                <w:rFonts w:ascii="Arial" w:hAnsi="Arial" w:cs="Arial"/>
                <w:b/>
                <w:bCs/>
                <w:color w:val="auto"/>
                <w:sz w:val="24"/>
              </w:rPr>
              <w:t xml:space="preserve">The </w:t>
            </w:r>
            <w:r w:rsidR="007F18CA">
              <w:rPr>
                <w:rFonts w:ascii="Arial" w:hAnsi="Arial" w:cs="Arial"/>
                <w:b/>
                <w:bCs/>
                <w:color w:val="auto"/>
                <w:sz w:val="24"/>
              </w:rPr>
              <w:t>“</w:t>
            </w:r>
            <w:r>
              <w:rPr>
                <w:rFonts w:ascii="Arial" w:hAnsi="Arial" w:cs="Arial"/>
                <w:b/>
                <w:bCs/>
                <w:color w:val="auto"/>
                <w:sz w:val="24"/>
              </w:rPr>
              <w:t>Cost of Vacancy</w:t>
            </w:r>
            <w:r w:rsidR="007F18CA">
              <w:rPr>
                <w:rFonts w:ascii="Arial" w:hAnsi="Arial" w:cs="Arial"/>
                <w:b/>
                <w:bCs/>
                <w:color w:val="auto"/>
                <w:sz w:val="24"/>
              </w:rPr>
              <w:t>”</w:t>
            </w:r>
            <w:r>
              <w:rPr>
                <w:rFonts w:ascii="Arial" w:hAnsi="Arial" w:cs="Arial"/>
                <w:b/>
                <w:bCs/>
                <w:color w:val="auto"/>
                <w:sz w:val="24"/>
              </w:rPr>
              <w:t xml:space="preserve"> is Much More </w:t>
            </w:r>
            <w:r w:rsidR="007F18CA">
              <w:rPr>
                <w:rFonts w:ascii="Arial" w:hAnsi="Arial" w:cs="Arial"/>
                <w:b/>
                <w:bCs/>
                <w:color w:val="auto"/>
                <w:sz w:val="24"/>
              </w:rPr>
              <w:t>t</w:t>
            </w:r>
            <w:r>
              <w:rPr>
                <w:rFonts w:ascii="Arial" w:hAnsi="Arial" w:cs="Arial"/>
                <w:b/>
                <w:bCs/>
                <w:color w:val="auto"/>
                <w:sz w:val="24"/>
              </w:rPr>
              <w:t xml:space="preserve">han the Cost of </w:t>
            </w:r>
            <w:r w:rsidR="007F18CA">
              <w:rPr>
                <w:rFonts w:ascii="Arial" w:hAnsi="Arial" w:cs="Arial"/>
                <w:b/>
                <w:bCs/>
                <w:color w:val="auto"/>
                <w:sz w:val="24"/>
              </w:rPr>
              <w:t>“</w:t>
            </w:r>
            <w:r>
              <w:rPr>
                <w:rFonts w:ascii="Arial" w:hAnsi="Arial" w:cs="Arial"/>
                <w:b/>
                <w:bCs/>
                <w:color w:val="auto"/>
                <w:sz w:val="24"/>
              </w:rPr>
              <w:t>Vacant Staging</w:t>
            </w:r>
            <w:r w:rsidR="007F18CA">
              <w:rPr>
                <w:rFonts w:ascii="Arial" w:hAnsi="Arial" w:cs="Arial"/>
                <w:b/>
                <w:bCs/>
                <w:color w:val="auto"/>
                <w:sz w:val="24"/>
              </w:rPr>
              <w:t>”</w:t>
            </w:r>
          </w:p>
          <w:p w:rsidR="004633FB" w:rsidRDefault="004633FB">
            <w:pPr>
              <w:rPr>
                <w:rFonts w:ascii="Arial" w:hAnsi="Arial" w:cs="Arial"/>
                <w:b/>
                <w:bCs/>
              </w:rPr>
            </w:pPr>
          </w:p>
        </w:tc>
      </w:tr>
      <w:tr w:rsidR="004633FB">
        <w:tblPrEx>
          <w:tblCellMar>
            <w:top w:w="0" w:type="dxa"/>
            <w:bottom w:w="0" w:type="dxa"/>
          </w:tblCellMar>
        </w:tblPrEx>
        <w:tc>
          <w:tcPr>
            <w:tcW w:w="720" w:type="dxa"/>
          </w:tcPr>
          <w:p w:rsidR="004633FB" w:rsidRDefault="004633FB">
            <w:pPr>
              <w:rPr>
                <w:rFonts w:ascii="Arial" w:hAnsi="Arial" w:cs="Arial"/>
              </w:rPr>
            </w:pPr>
            <w:r>
              <w:rPr>
                <w:rFonts w:ascii="Arial" w:hAnsi="Arial" w:cs="Arial"/>
              </w:rPr>
              <w:fldChar w:fldCharType="begin"/>
            </w:r>
            <w:r>
              <w:rPr>
                <w:rFonts w:ascii="Arial" w:hAnsi="Arial" w:cs="Arial"/>
              </w:rPr>
              <w:instrText xml:space="preserve"> INCLUDEPICTURE "http://www.elrdesigns.com/intflirdelis.jpg" \* MERGEFORMATINET </w:instrText>
            </w:r>
            <w:r>
              <w:rPr>
                <w:rFonts w:ascii="Arial" w:hAnsi="Arial" w:cs="Arial"/>
              </w:rPr>
              <w:fldChar w:fldCharType="separate"/>
            </w:r>
            <w:r>
              <w:rPr>
                <w:rFonts w:ascii="Arial" w:hAnsi="Arial" w:cs="Arial"/>
              </w:rPr>
              <w:pict>
                <v:shape id="_x0000_i1029" type="#_x0000_t75" style="width:18.75pt;height:10.5pt">
                  <v:imagedata r:id="rId6" r:href="rId11"/>
                </v:shape>
              </w:pict>
            </w:r>
            <w:r>
              <w:rPr>
                <w:rFonts w:ascii="Arial" w:hAnsi="Arial" w:cs="Arial"/>
              </w:rPr>
              <w:fldChar w:fldCharType="end"/>
            </w:r>
          </w:p>
        </w:tc>
        <w:tc>
          <w:tcPr>
            <w:tcW w:w="8208" w:type="dxa"/>
          </w:tcPr>
          <w:p w:rsidR="004633FB" w:rsidRDefault="009B47A6">
            <w:pPr>
              <w:rPr>
                <w:rFonts w:ascii="Arial" w:hAnsi="Arial" w:cs="Arial"/>
                <w:b/>
                <w:bCs/>
              </w:rPr>
            </w:pPr>
            <w:r>
              <w:rPr>
                <w:rFonts w:ascii="Arial" w:hAnsi="Arial" w:cs="Arial"/>
              </w:rPr>
              <w:t xml:space="preserve">The average vacant home takes twice as long to sell than the occupied home.  Selling investment </w:t>
            </w:r>
            <w:proofErr w:type="gramStart"/>
            <w:r>
              <w:rPr>
                <w:rFonts w:ascii="Arial" w:hAnsi="Arial" w:cs="Arial"/>
              </w:rPr>
              <w:t>properties,</w:t>
            </w:r>
            <w:proofErr w:type="gramEnd"/>
            <w:r>
              <w:rPr>
                <w:rFonts w:ascii="Arial" w:hAnsi="Arial" w:cs="Arial"/>
              </w:rPr>
              <w:t xml:space="preserve"> or moving before your old home has sold can create a hefty financial burden with months of carrying costs and maintenance</w:t>
            </w:r>
            <w:r w:rsidR="004633FB">
              <w:rPr>
                <w:rFonts w:ascii="Arial" w:hAnsi="Arial" w:cs="Arial"/>
              </w:rPr>
              <w:t>.</w:t>
            </w:r>
            <w:r>
              <w:rPr>
                <w:rFonts w:ascii="Arial" w:hAnsi="Arial" w:cs="Arial"/>
              </w:rPr>
              <w:t xml:space="preserve">  We can create a “model home” look on your budget, so call today for your customized vacant proposal!</w:t>
            </w:r>
          </w:p>
        </w:tc>
      </w:tr>
    </w:tbl>
    <w:p w:rsidR="004633FB" w:rsidRDefault="004633FB">
      <w:pPr>
        <w:rPr>
          <w:rFonts w:ascii="Arial" w:hAnsi="Arial" w:cs="Arial"/>
        </w:rPr>
      </w:pPr>
    </w:p>
    <w:sectPr w:rsidR="004633FB">
      <w:headerReference w:type="default" r:id="rId12"/>
      <w:pgSz w:w="12240" w:h="15840" w:code="1"/>
      <w:pgMar w:top="2160" w:right="1728" w:bottom="100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108" w:rsidRDefault="00F04108">
      <w:r>
        <w:separator/>
      </w:r>
    </w:p>
  </w:endnote>
  <w:endnote w:type="continuationSeparator" w:id="0">
    <w:p w:rsidR="00F04108" w:rsidRDefault="00F0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108" w:rsidRDefault="00F04108">
      <w:r>
        <w:separator/>
      </w:r>
    </w:p>
  </w:footnote>
  <w:footnote w:type="continuationSeparator" w:id="0">
    <w:p w:rsidR="00F04108" w:rsidRDefault="00F04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3FB" w:rsidRDefault="004633F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7A6"/>
    <w:rsid w:val="004633FB"/>
    <w:rsid w:val="004B1BE3"/>
    <w:rsid w:val="005F5F65"/>
    <w:rsid w:val="007F18CA"/>
    <w:rsid w:val="009B47A6"/>
    <w:rsid w:val="00F04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3c6a2,#b4bb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Monotype Corsiva" w:hAnsi="Monotype Corsiva"/>
      <w:color w:val="FFFFFF"/>
      <w:sz w:val="40"/>
      <w:szCs w:val="36"/>
    </w:rPr>
  </w:style>
  <w:style w:type="paragraph" w:styleId="Heading2">
    <w:name w:val="heading 2"/>
    <w:basedOn w:val="Normal"/>
    <w:next w:val="Normal"/>
    <w:qFormat/>
    <w:pPr>
      <w:keepNext/>
      <w:outlineLvl w:val="1"/>
    </w:pPr>
    <w:rPr>
      <w:rFonts w:ascii="Monotype Corsiva" w:hAnsi="Monotype Corsiva" w:cs="Tahoma"/>
      <w:color w:val="800000"/>
      <w:sz w:val="32"/>
    </w:rPr>
  </w:style>
  <w:style w:type="paragraph" w:styleId="Heading3">
    <w:name w:val="heading 3"/>
    <w:basedOn w:val="Normal"/>
    <w:next w:val="Normal"/>
    <w:qFormat/>
    <w:pPr>
      <w:keepNext/>
      <w:outlineLvl w:val="2"/>
    </w:pPr>
    <w:rPr>
      <w:rFonts w:ascii="Monotype Corsiva" w:hAnsi="Monotype Corsiva"/>
      <w:color w:val="800000"/>
      <w:sz w:val="36"/>
    </w:rPr>
  </w:style>
  <w:style w:type="paragraph" w:styleId="Heading4">
    <w:name w:val="heading 4"/>
    <w:basedOn w:val="Normal"/>
    <w:next w:val="Normal"/>
    <w:qFormat/>
    <w:pPr>
      <w:keepNext/>
      <w:outlineLvl w:val="3"/>
    </w:pPr>
    <w:rPr>
      <w:rFonts w:ascii="Monotype Corsiva" w:hAnsi="Monotype Corsiva"/>
      <w:color w:val="800000"/>
      <w:sz w:val="48"/>
    </w:rPr>
  </w:style>
  <w:style w:type="paragraph" w:styleId="Heading5">
    <w:name w:val="heading 5"/>
    <w:basedOn w:val="Normal"/>
    <w:next w:val="Normal"/>
    <w:qFormat/>
    <w:pPr>
      <w:keepNext/>
      <w:jc w:val="center"/>
      <w:outlineLvl w:val="4"/>
    </w:pPr>
    <w:rPr>
      <w:rFonts w:ascii="Monotype Corsiva" w:hAnsi="Monotype Corsiva"/>
      <w:color w:val="800000"/>
      <w:sz w:val="4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color w:val="00000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elrdesigns.com/intflirdelis.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elrdesigns.com/intflirdelis.jp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http://www.elrdesigns.com/intflirdelis.jpg" TargetMode="External"/><Relationship Id="rId5" Type="http://schemas.openxmlformats.org/officeDocument/2006/relationships/endnotes" Target="endnotes.xml"/><Relationship Id="rId10" Type="http://schemas.openxmlformats.org/officeDocument/2006/relationships/image" Target="http://www.elrdesigns.com/intflirdelis.jpg" TargetMode="External"/><Relationship Id="rId4" Type="http://schemas.openxmlformats.org/officeDocument/2006/relationships/footnotes" Target="footnotes.xml"/><Relationship Id="rId9" Type="http://schemas.openxmlformats.org/officeDocument/2006/relationships/image" Target="http://www.elrdesigns.com/intflirdelis.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Why You Have Made A Great Decision in Staging Your Home…</vt:lpstr>
    </vt:vector>
  </TitlesOfParts>
  <Company>RA</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You Need to Stage a Vacant Home</dc:title>
  <dc:creator>Audra</dc:creator>
  <cp:lastModifiedBy>Audra7</cp:lastModifiedBy>
  <cp:revision>3</cp:revision>
  <cp:lastPrinted>2005-10-13T14:36:00Z</cp:lastPrinted>
  <dcterms:created xsi:type="dcterms:W3CDTF">2016-11-07T23:10:00Z</dcterms:created>
  <dcterms:modified xsi:type="dcterms:W3CDTF">2016-11-07T23:10:00Z</dcterms:modified>
</cp:coreProperties>
</file>